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22485" w14:textId="5A6F6EE2" w:rsidR="001079CF" w:rsidRDefault="001079CF" w:rsidP="0057305A">
      <w:pPr>
        <w:rPr>
          <w:rFonts w:ascii="Verdana" w:eastAsia="Times New Roman" w:hAnsi="Verdana" w:cs="Segoe UI"/>
          <w:b/>
          <w:bCs/>
          <w:i/>
          <w:iCs/>
          <w:color w:val="000000"/>
          <w:sz w:val="26"/>
          <w:szCs w:val="26"/>
        </w:rPr>
      </w:pPr>
      <w:r>
        <w:rPr>
          <w:noProof/>
          <w:color w:val="FFFFFF" w:themeColor="background1"/>
          <w:sz w:val="32"/>
          <w:szCs w:val="32"/>
        </w:rPr>
        <mc:AlternateContent>
          <mc:Choice Requires="wps">
            <w:drawing>
              <wp:anchor distT="0" distB="0" distL="114300" distR="114300" simplePos="0" relativeHeight="251659264" behindDoc="0" locked="0" layoutInCell="1" allowOverlap="1" wp14:anchorId="7FFDB3A2" wp14:editId="4D9D0603">
                <wp:simplePos x="0" y="0"/>
                <wp:positionH relativeFrom="column">
                  <wp:posOffset>-254833</wp:posOffset>
                </wp:positionH>
                <wp:positionV relativeFrom="paragraph">
                  <wp:posOffset>-150537</wp:posOffset>
                </wp:positionV>
                <wp:extent cx="7116679" cy="391027"/>
                <wp:effectExtent l="0" t="0" r="2730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6679" cy="391027"/>
                        </a:xfrm>
                        <a:prstGeom prst="rect">
                          <a:avLst/>
                        </a:prstGeom>
                        <a:solidFill>
                          <a:schemeClr val="tx2"/>
                        </a:solidFill>
                        <a:ln w="9525">
                          <a:solidFill>
                            <a:srgbClr val="000000"/>
                          </a:solidFill>
                          <a:miter lim="800000"/>
                          <a:headEnd/>
                          <a:tailEnd/>
                        </a:ln>
                      </wps:spPr>
                      <wps:txbx>
                        <w:txbxContent>
                          <w:p w14:paraId="5F43D85C" w14:textId="77777777" w:rsidR="001079CF" w:rsidRPr="001079CF" w:rsidRDefault="001079CF" w:rsidP="001079CF">
                            <w:pPr>
                              <w:ind w:left="7200"/>
                              <w:rPr>
                                <w:rFonts w:ascii="Times New Roman" w:hAnsi="Times New Roman" w:cs="Times New Roman"/>
                                <w:color w:val="FFFFFF" w:themeColor="background1"/>
                              </w:rPr>
                            </w:pPr>
                            <w:r w:rsidRPr="001079CF">
                              <w:rPr>
                                <w:rFonts w:ascii="Times New Roman" w:hAnsi="Times New Roman" w:cs="Times New Roman"/>
                                <w:color w:val="FFFFFF" w:themeColor="background1"/>
                                <w:sz w:val="28"/>
                                <w:szCs w:val="28"/>
                              </w:rPr>
                              <w:t xml:space="preserve">             Acquisition Opportunity</w:t>
                            </w:r>
                          </w:p>
                          <w:p w14:paraId="48D035B6" w14:textId="77777777" w:rsidR="001079CF" w:rsidRPr="000F0B14" w:rsidRDefault="001079CF" w:rsidP="001079CF">
                            <w:pPr>
                              <w:ind w:left="450"/>
                              <w:rPr>
                                <w:color w:val="FFFFFF" w:themeColor="background1"/>
                                <w:sz w:val="28"/>
                                <w:szCs w:val="28"/>
                              </w:rPr>
                            </w:pPr>
                            <w:r>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FDB3A2" id="_x0000_t202" coordsize="21600,21600" o:spt="202" path="m,l,21600r21600,l21600,xe">
                <v:stroke joinstyle="miter"/>
                <v:path gradientshapeok="t" o:connecttype="rect"/>
              </v:shapetype>
              <v:shape id="Text Box 2" o:spid="_x0000_s1026" type="#_x0000_t202" style="position:absolute;margin-left:-20.05pt;margin-top:-11.85pt;width:560.35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" fillcolor="#44546a [3215]">
                <v:textbox>
                  <w:txbxContent>
                    <w:p w14:paraId="5F43D85C" w14:textId="77777777" w:rsidR="001079CF" w:rsidRPr="001079CF" w:rsidRDefault="001079CF" w:rsidP="001079CF">
                      <w:pPr>
                        <w:ind w:left="7200"/>
                        <w:rPr>
                          <w:rFonts w:ascii="Times New Roman" w:hAnsi="Times New Roman" w:cs="Times New Roman"/>
                          <w:color w:val="FFFFFF" w:themeColor="background1"/>
                        </w:rPr>
                      </w:pPr>
                      <w:r w:rsidRPr="001079CF">
                        <w:rPr>
                          <w:rFonts w:ascii="Times New Roman" w:hAnsi="Times New Roman" w:cs="Times New Roman"/>
                          <w:color w:val="FFFFFF" w:themeColor="background1"/>
                          <w:sz w:val="28"/>
                          <w:szCs w:val="28"/>
                        </w:rPr>
                        <w:t xml:space="preserve">             Acquisition Opportunity</w:t>
                      </w:r>
                    </w:p>
                    <w:p w14:paraId="48D035B6" w14:textId="77777777" w:rsidR="001079CF" w:rsidRPr="000F0B14" w:rsidRDefault="001079CF" w:rsidP="001079CF">
                      <w:pPr>
                        <w:ind w:left="450"/>
                        <w:rPr>
                          <w:color w:val="FFFFFF" w:themeColor="background1"/>
                          <w:sz w:val="28"/>
                          <w:szCs w:val="28"/>
                        </w:rPr>
                      </w:pPr>
                      <w:r>
                        <w:rPr>
                          <w:color w:val="FFFFFF" w:themeColor="background1"/>
                        </w:rPr>
                        <w:t xml:space="preserve"> </w:t>
                      </w:r>
                    </w:p>
                  </w:txbxContent>
                </v:textbox>
              </v:shape>
            </w:pict>
          </mc:Fallback>
        </mc:AlternateContent>
      </w:r>
    </w:p>
    <w:p w14:paraId="060AE6D0" w14:textId="77777777" w:rsidR="001079CF" w:rsidRDefault="001079CF" w:rsidP="0057305A">
      <w:pPr>
        <w:rPr>
          <w:rFonts w:ascii="Verdana" w:eastAsia="Times New Roman" w:hAnsi="Verdana" w:cs="Segoe UI"/>
          <w:b/>
          <w:bCs/>
          <w:i/>
          <w:iCs/>
          <w:color w:val="000000"/>
          <w:sz w:val="26"/>
          <w:szCs w:val="26"/>
        </w:rPr>
      </w:pPr>
    </w:p>
    <w:p w14:paraId="636633EE" w14:textId="27DAE6F5" w:rsidR="001079CF" w:rsidRDefault="001079CF" w:rsidP="0057305A">
      <w:pPr>
        <w:rPr>
          <w:rFonts w:ascii="Times New Roman" w:eastAsia="Times New Roman" w:hAnsi="Times New Roman" w:cs="Times New Roman"/>
          <w:b/>
          <w:bCs/>
          <w:color w:val="000000"/>
          <w:sz w:val="22"/>
          <w:szCs w:val="22"/>
        </w:rPr>
      </w:pPr>
      <w:r w:rsidRPr="001079CF">
        <w:rPr>
          <w:rFonts w:ascii="Times New Roman" w:eastAsia="Times New Roman" w:hAnsi="Times New Roman" w:cs="Times New Roman"/>
          <w:b/>
          <w:bCs/>
          <w:color w:val="000000"/>
          <w:sz w:val="22"/>
          <w:szCs w:val="22"/>
        </w:rPr>
        <w:t>Highly Reputable Infrastructure Company</w:t>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p>
    <w:p w14:paraId="2E94B38C" w14:textId="69C70204" w:rsidR="001079CF" w:rsidRDefault="001079CF" w:rsidP="0057305A">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Location: Florida</w:t>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t>FY 2023 EST Revenue: 20M</w:t>
      </w:r>
    </w:p>
    <w:p w14:paraId="35968D35" w14:textId="04ABA0E8" w:rsidR="001079CF" w:rsidRPr="001079CF" w:rsidRDefault="001079CF" w:rsidP="0057305A">
      <w:pPr>
        <w:pBdr>
          <w:bottom w:val="single" w:sz="12" w:space="1" w:color="auto"/>
        </w:pBd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Infrastructure Market</w:t>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t>FY 2023 EST EBITDA: 8.7M</w:t>
      </w:r>
    </w:p>
    <w:p w14:paraId="5DC127F7" w14:textId="4E520077" w:rsidR="001079CF" w:rsidRDefault="001079CF" w:rsidP="0057305A">
      <w:pPr>
        <w:rPr>
          <w:rFonts w:ascii="Verdana" w:eastAsia="Times New Roman" w:hAnsi="Verdana" w:cs="Segoe UI"/>
          <w:b/>
          <w:bCs/>
          <w:i/>
          <w:iCs/>
          <w:color w:val="000000"/>
          <w:sz w:val="26"/>
          <w:szCs w:val="26"/>
        </w:rPr>
      </w:pPr>
      <w:r>
        <w:rPr>
          <w:noProof/>
        </w:rPr>
        <mc:AlternateContent>
          <mc:Choice Requires="wps">
            <w:drawing>
              <wp:anchor distT="0" distB="0" distL="114300" distR="114300" simplePos="0" relativeHeight="251661312" behindDoc="0" locked="0" layoutInCell="1" allowOverlap="1" wp14:anchorId="2DA44287" wp14:editId="6E718E4C">
                <wp:simplePos x="0" y="0"/>
                <wp:positionH relativeFrom="column">
                  <wp:posOffset>0</wp:posOffset>
                </wp:positionH>
                <wp:positionV relativeFrom="paragraph">
                  <wp:posOffset>189865</wp:posOffset>
                </wp:positionV>
                <wp:extent cx="3200400" cy="261620"/>
                <wp:effectExtent l="0" t="0" r="1270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1620"/>
                        </a:xfrm>
                        <a:prstGeom prst="rect">
                          <a:avLst/>
                        </a:prstGeom>
                        <a:solidFill>
                          <a:schemeClr val="tx1"/>
                        </a:solidFill>
                        <a:ln w="9525">
                          <a:solidFill>
                            <a:srgbClr val="000000"/>
                          </a:solidFill>
                          <a:miter lim="800000"/>
                          <a:headEnd/>
                          <a:tailEnd/>
                        </a:ln>
                      </wps:spPr>
                      <wps:txbx>
                        <w:txbxContent>
                          <w:p w14:paraId="34B3544A" w14:textId="77777777" w:rsidR="001079CF" w:rsidRPr="001079CF" w:rsidRDefault="001079CF" w:rsidP="001079CF">
                            <w:pPr>
                              <w:jc w:val="center"/>
                              <w:rPr>
                                <w:rFonts w:ascii="Times New Roman" w:hAnsi="Times New Roman" w:cs="Times New Roman"/>
                              </w:rPr>
                            </w:pPr>
                            <w:r w:rsidRPr="001079CF">
                              <w:rPr>
                                <w:rFonts w:ascii="Times New Roman" w:hAnsi="Times New Roman" w:cs="Times New Roman"/>
                              </w:rPr>
                              <w:t xml:space="preserve">Business Description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A44287" id="_x0000_s1027" type="#_x0000_t202" style="position:absolute;margin-left:0;margin-top:14.95pt;width:252pt;height:20.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" fillcolor="black [3213]">
                <v:textbox style="mso-fit-shape-to-text:t">
                  <w:txbxContent>
                    <w:p w14:paraId="34B3544A" w14:textId="77777777" w:rsidR="001079CF" w:rsidRPr="001079CF" w:rsidRDefault="001079CF" w:rsidP="001079CF">
                      <w:pPr>
                        <w:jc w:val="center"/>
                        <w:rPr>
                          <w:rFonts w:ascii="Times New Roman" w:hAnsi="Times New Roman" w:cs="Times New Roman"/>
                        </w:rPr>
                      </w:pPr>
                      <w:r w:rsidRPr="001079CF">
                        <w:rPr>
                          <w:rFonts w:ascii="Times New Roman" w:hAnsi="Times New Roman" w:cs="Times New Roman"/>
                        </w:rPr>
                        <w:t xml:space="preserve">Business Description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C327901" wp14:editId="7B72580F">
                <wp:simplePos x="0" y="0"/>
                <wp:positionH relativeFrom="column">
                  <wp:posOffset>3669030</wp:posOffset>
                </wp:positionH>
                <wp:positionV relativeFrom="paragraph">
                  <wp:posOffset>189865</wp:posOffset>
                </wp:positionV>
                <wp:extent cx="3197860" cy="261620"/>
                <wp:effectExtent l="0" t="0" r="1524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860" cy="261620"/>
                        </a:xfrm>
                        <a:prstGeom prst="rect">
                          <a:avLst/>
                        </a:prstGeom>
                        <a:solidFill>
                          <a:schemeClr val="tx1"/>
                        </a:solidFill>
                        <a:ln w="9525">
                          <a:solidFill>
                            <a:srgbClr val="000000"/>
                          </a:solidFill>
                          <a:miter lim="800000"/>
                          <a:headEnd/>
                          <a:tailEnd/>
                        </a:ln>
                      </wps:spPr>
                      <wps:txbx>
                        <w:txbxContent>
                          <w:p w14:paraId="1BE44015" w14:textId="2ACDA0FD" w:rsidR="001079CF" w:rsidRPr="001079CF" w:rsidRDefault="001079CF" w:rsidP="001079CF">
                            <w:pPr>
                              <w:jc w:val="center"/>
                              <w:rPr>
                                <w:rFonts w:ascii="Times New Roman" w:hAnsi="Times New Roman" w:cs="Times New Roman"/>
                              </w:rPr>
                            </w:pPr>
                            <w:r>
                              <w:rPr>
                                <w:rFonts w:ascii="Times New Roman" w:hAnsi="Times New Roman" w:cs="Times New Roman"/>
                              </w:rPr>
                              <w:t>Investment Highlights</w:t>
                            </w:r>
                            <w:r w:rsidRPr="001079CF">
                              <w:rPr>
                                <w:rFonts w:ascii="Times New Roman" w:hAnsi="Times New Roman" w:cs="Times New Roman"/>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327901" id="_x0000_s1028" type="#_x0000_t202" style="position:absolute;margin-left:288.9pt;margin-top:14.95pt;width:251.8pt;height:20.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" fillcolor="black [3213]">
                <v:textbox style="mso-fit-shape-to-text:t">
                  <w:txbxContent>
                    <w:p w14:paraId="1BE44015" w14:textId="2ACDA0FD" w:rsidR="001079CF" w:rsidRPr="001079CF" w:rsidRDefault="001079CF" w:rsidP="001079CF">
                      <w:pPr>
                        <w:jc w:val="center"/>
                        <w:rPr>
                          <w:rFonts w:ascii="Times New Roman" w:hAnsi="Times New Roman" w:cs="Times New Roman"/>
                        </w:rPr>
                      </w:pPr>
                      <w:r>
                        <w:rPr>
                          <w:rFonts w:ascii="Times New Roman" w:hAnsi="Times New Roman" w:cs="Times New Roman"/>
                        </w:rPr>
                        <w:t>Investment Highlights</w:t>
                      </w:r>
                      <w:r w:rsidRPr="001079CF">
                        <w:rPr>
                          <w:rFonts w:ascii="Times New Roman" w:hAnsi="Times New Roman" w:cs="Times New Roman"/>
                        </w:rPr>
                        <w:t xml:space="preserve"> </w:t>
                      </w:r>
                    </w:p>
                  </w:txbxContent>
                </v:textbox>
              </v:shape>
            </w:pict>
          </mc:Fallback>
        </mc:AlternateContent>
      </w:r>
    </w:p>
    <w:p w14:paraId="3374EFB8" w14:textId="741102A6" w:rsidR="001079CF" w:rsidRDefault="001079CF" w:rsidP="0057305A">
      <w:pPr>
        <w:rPr>
          <w:rFonts w:ascii="Verdana" w:eastAsia="Times New Roman" w:hAnsi="Verdana" w:cs="Segoe UI"/>
          <w:b/>
          <w:bCs/>
          <w:i/>
          <w:iCs/>
          <w:color w:val="000000"/>
          <w:sz w:val="26"/>
          <w:szCs w:val="26"/>
        </w:rPr>
      </w:pPr>
    </w:p>
    <w:p w14:paraId="044F17B1" w14:textId="3F53DE4A" w:rsidR="001079CF" w:rsidRDefault="001079CF" w:rsidP="0057305A">
      <w:pPr>
        <w:rPr>
          <w:rFonts w:ascii="Verdana" w:eastAsia="Times New Roman" w:hAnsi="Verdana" w:cs="Segoe UI"/>
          <w:b/>
          <w:bCs/>
          <w:i/>
          <w:iCs/>
          <w:color w:val="000000"/>
          <w:sz w:val="26"/>
          <w:szCs w:val="26"/>
        </w:rPr>
      </w:pPr>
    </w:p>
    <w:p w14:paraId="7FDBFF8F" w14:textId="77777777" w:rsidR="001079CF" w:rsidRDefault="001079CF" w:rsidP="0057305A">
      <w:pPr>
        <w:rPr>
          <w:rFonts w:ascii="Times New Roman" w:eastAsia="Times New Roman" w:hAnsi="Times New Roman" w:cs="Times New Roman"/>
          <w:color w:val="000000"/>
        </w:rPr>
        <w:sectPr w:rsidR="001079CF" w:rsidSect="001079CF">
          <w:headerReference w:type="default" r:id="rId6"/>
          <w:footerReference w:type="default" r:id="rId7"/>
          <w:pgSz w:w="12240" w:h="15840"/>
          <w:pgMar w:top="720" w:right="720" w:bottom="720" w:left="720" w:header="720" w:footer="720" w:gutter="0"/>
          <w:cols w:space="720"/>
          <w:docGrid w:linePitch="360"/>
        </w:sectPr>
      </w:pPr>
    </w:p>
    <w:p w14:paraId="4AC52516" w14:textId="77777777" w:rsidR="0057305A" w:rsidRPr="001079CF" w:rsidRDefault="0057305A" w:rsidP="0057305A">
      <w:pPr>
        <w:rPr>
          <w:rFonts w:ascii="Times New Roman" w:eastAsia="Times New Roman" w:hAnsi="Times New Roman" w:cs="Times New Roman"/>
          <w:color w:val="000000"/>
          <w:sz w:val="19"/>
          <w:szCs w:val="19"/>
        </w:rPr>
      </w:pPr>
      <w:r w:rsidRPr="001079CF">
        <w:rPr>
          <w:rFonts w:ascii="Times New Roman" w:eastAsia="Times New Roman" w:hAnsi="Times New Roman" w:cs="Times New Roman"/>
          <w:color w:val="000000"/>
          <w:sz w:val="19"/>
          <w:szCs w:val="19"/>
        </w:rPr>
        <w:t xml:space="preserve">The business specializes in underground utilities, commercial site developments, and civil infrastructures such as excavations, earth-moving, demolitions, clearings, and concrete projects. The company also provides asphalt parking, roads, curbs, and sidewalks as government-based jobs are accessible, promising a profitable future and further command over niche markets. Benefiting from multiple state licenses, various industry memberships, and equipment kept in top shape, seller is focused on driving revenues up and thriving the company with tactical partnerships. Two prime facilities total 3,400 square feet and are situated over 5.3 acres of land; they feature office rooms, a storage area for tools, plus an ample yard for vehicles and construction equipment.  Both properties are available for optional purchase subject to appraisal, they are found in great condition with pre-zoning to handle additional capacity for expansions. With no clients apart from their main consumer making more than 2%, nor their Top Ten summing over 20% of the annual income, the company enjoys a diverse portfolio allowing optimizations leading to rising profits. Experienced and cross-trained team of 49 nonunion employees are likely to remain post-purchase after a smooth owner transition of one year to acclimate us as the buyer. </w:t>
      </w:r>
    </w:p>
    <w:p w14:paraId="4A49EC7A" w14:textId="77777777" w:rsidR="0057305A" w:rsidRPr="001079CF" w:rsidRDefault="0057305A" w:rsidP="0057305A">
      <w:pPr>
        <w:rPr>
          <w:rFonts w:ascii="Times New Roman" w:eastAsia="Times New Roman" w:hAnsi="Times New Roman" w:cs="Times New Roman"/>
          <w:color w:val="000000"/>
          <w:sz w:val="19"/>
          <w:szCs w:val="19"/>
        </w:rPr>
      </w:pPr>
    </w:p>
    <w:p w14:paraId="4B78D6E1" w14:textId="54187B95" w:rsidR="0057305A" w:rsidRPr="001079CF" w:rsidRDefault="0057305A" w:rsidP="0057305A">
      <w:pPr>
        <w:rPr>
          <w:rFonts w:ascii="Segoe UI" w:eastAsia="Times New Roman" w:hAnsi="Segoe UI" w:cs="Segoe UI"/>
          <w:color w:val="000000"/>
          <w:sz w:val="19"/>
          <w:szCs w:val="19"/>
        </w:rPr>
      </w:pPr>
      <w:r w:rsidRPr="001079CF">
        <w:rPr>
          <w:rFonts w:ascii="Times New Roman" w:eastAsia="Times New Roman" w:hAnsi="Times New Roman" w:cs="Times New Roman"/>
          <w:color w:val="000000"/>
          <w:sz w:val="19"/>
          <w:szCs w:val="19"/>
        </w:rPr>
        <w:t>An opportunity exists to capture a greater share of the following markets:</w:t>
      </w:r>
    </w:p>
    <w:p w14:paraId="75D8660E" w14:textId="77777777" w:rsidR="0057305A" w:rsidRPr="001079CF" w:rsidRDefault="0057305A" w:rsidP="0057305A">
      <w:pPr>
        <w:rPr>
          <w:rFonts w:ascii="Segoe UI" w:eastAsia="Times New Roman" w:hAnsi="Segoe UI" w:cs="Segoe UI"/>
          <w:color w:val="000000"/>
          <w:sz w:val="19"/>
          <w:szCs w:val="19"/>
        </w:rPr>
      </w:pPr>
      <w:r w:rsidRPr="001079CF">
        <w:rPr>
          <w:rFonts w:ascii="Times New Roman" w:eastAsia="Times New Roman" w:hAnsi="Times New Roman" w:cs="Times New Roman"/>
          <w:color w:val="000000"/>
          <w:sz w:val="19"/>
          <w:szCs w:val="19"/>
        </w:rPr>
        <w:t>• Commercial: Currently, 70% of the Company’s revenue derives from underground utilities and asphalt parking.</w:t>
      </w:r>
    </w:p>
    <w:p w14:paraId="09D00BA5" w14:textId="77777777" w:rsidR="0057305A" w:rsidRPr="001079CF" w:rsidRDefault="0057305A" w:rsidP="0057305A">
      <w:pPr>
        <w:rPr>
          <w:rFonts w:ascii="Segoe UI" w:eastAsia="Times New Roman" w:hAnsi="Segoe UI" w:cs="Segoe UI"/>
          <w:color w:val="000000"/>
          <w:sz w:val="19"/>
          <w:szCs w:val="19"/>
        </w:rPr>
      </w:pPr>
      <w:r w:rsidRPr="001079CF">
        <w:rPr>
          <w:rFonts w:ascii="Times New Roman" w:eastAsia="Times New Roman" w:hAnsi="Times New Roman" w:cs="Times New Roman"/>
          <w:color w:val="000000"/>
          <w:sz w:val="19"/>
          <w:szCs w:val="19"/>
        </w:rPr>
        <w:t>• Residential: Currently, 15% of the Company’s revenue derives from earthmoving, clearing, underground utilities, sidewalks, and roads.</w:t>
      </w:r>
    </w:p>
    <w:tbl>
      <w:tblPr>
        <w:tblpPr w:leftFromText="180" w:rightFromText="180" w:vertAnchor="text" w:horzAnchor="margin" w:tblpY="2038"/>
        <w:tblW w:w="3808" w:type="dxa"/>
        <w:tblCellMar>
          <w:left w:w="0" w:type="dxa"/>
          <w:right w:w="0" w:type="dxa"/>
        </w:tblCellMar>
        <w:tblLook w:val="04A0" w:firstRow="1" w:lastRow="0" w:firstColumn="1" w:lastColumn="0" w:noHBand="0" w:noVBand="1"/>
      </w:tblPr>
      <w:tblGrid>
        <w:gridCol w:w="1366"/>
        <w:gridCol w:w="1296"/>
        <w:gridCol w:w="573"/>
        <w:gridCol w:w="573"/>
      </w:tblGrid>
      <w:tr w:rsidR="00D17DAA" w:rsidRPr="0057305A" w14:paraId="61EC08DD" w14:textId="77777777" w:rsidTr="00D17DAA">
        <w:trPr>
          <w:trHeight w:val="412"/>
        </w:trPr>
        <w:tc>
          <w:tcPr>
            <w:tcW w:w="0" w:type="auto"/>
            <w:tcBorders>
              <w:top w:val="single" w:sz="8" w:space="0" w:color="AAAAAA"/>
              <w:left w:val="single" w:sz="8" w:space="0" w:color="AAAAAA"/>
              <w:bottom w:val="single" w:sz="8" w:space="0" w:color="AAAAAA"/>
              <w:right w:val="single" w:sz="8" w:space="0" w:color="AAAAAA"/>
            </w:tcBorders>
            <w:tcMar>
              <w:top w:w="75" w:type="dxa"/>
              <w:left w:w="75" w:type="dxa"/>
              <w:bottom w:w="75" w:type="dxa"/>
              <w:right w:w="75" w:type="dxa"/>
            </w:tcMar>
            <w:hideMark/>
          </w:tcPr>
          <w:p w14:paraId="0E3DDC5C" w14:textId="77777777" w:rsidR="00D17DAA" w:rsidRPr="001079CF" w:rsidRDefault="00D17DAA" w:rsidP="00D17DAA">
            <w:pPr>
              <w:rPr>
                <w:rFonts w:ascii="Segoe UI" w:eastAsia="Times New Roman" w:hAnsi="Segoe UI" w:cs="Segoe UI"/>
                <w:color w:val="000000"/>
                <w:sz w:val="15"/>
                <w:szCs w:val="15"/>
              </w:rPr>
            </w:pPr>
            <w:r w:rsidRPr="001079CF">
              <w:rPr>
                <w:rFonts w:ascii="Times New Roman" w:eastAsia="Times New Roman" w:hAnsi="Times New Roman" w:cs="Times New Roman"/>
                <w:b/>
                <w:bCs/>
                <w:color w:val="000000"/>
                <w:sz w:val="15"/>
                <w:szCs w:val="15"/>
                <w:u w:val="single"/>
              </w:rPr>
              <w:t>Financial Summary</w:t>
            </w:r>
          </w:p>
        </w:tc>
        <w:tc>
          <w:tcPr>
            <w:tcW w:w="0" w:type="auto"/>
            <w:tcBorders>
              <w:top w:val="single" w:sz="8" w:space="0" w:color="AAAAAA"/>
              <w:left w:val="nil"/>
              <w:bottom w:val="single" w:sz="8" w:space="0" w:color="AAAAAA"/>
              <w:right w:val="single" w:sz="8" w:space="0" w:color="AAAAAA"/>
            </w:tcBorders>
            <w:tcMar>
              <w:top w:w="75" w:type="dxa"/>
              <w:left w:w="75" w:type="dxa"/>
              <w:bottom w:w="75" w:type="dxa"/>
              <w:right w:w="75" w:type="dxa"/>
            </w:tcMar>
            <w:hideMark/>
          </w:tcPr>
          <w:p w14:paraId="763B6F30" w14:textId="77777777" w:rsidR="00D17DAA" w:rsidRPr="0057305A" w:rsidRDefault="00D17DAA" w:rsidP="00D17DAA">
            <w:pPr>
              <w:rPr>
                <w:rFonts w:ascii="Segoe UI" w:eastAsia="Times New Roman" w:hAnsi="Segoe UI" w:cs="Segoe UI"/>
                <w:color w:val="000000"/>
              </w:rPr>
            </w:pPr>
          </w:p>
        </w:tc>
        <w:tc>
          <w:tcPr>
            <w:tcW w:w="0" w:type="auto"/>
            <w:tcBorders>
              <w:top w:val="single" w:sz="8" w:space="0" w:color="AAAAAA"/>
              <w:left w:val="nil"/>
              <w:bottom w:val="single" w:sz="8" w:space="0" w:color="AAAAAA"/>
              <w:right w:val="single" w:sz="8" w:space="0" w:color="AAAAAA"/>
            </w:tcBorders>
            <w:tcMar>
              <w:top w:w="75" w:type="dxa"/>
              <w:left w:w="75" w:type="dxa"/>
              <w:bottom w:w="75" w:type="dxa"/>
              <w:right w:w="75" w:type="dxa"/>
            </w:tcMar>
            <w:hideMark/>
          </w:tcPr>
          <w:p w14:paraId="6125865D" w14:textId="77777777" w:rsidR="00D17DAA" w:rsidRPr="0057305A" w:rsidRDefault="00D17DAA" w:rsidP="00D17DAA">
            <w:pPr>
              <w:rPr>
                <w:rFonts w:ascii="Times New Roman" w:eastAsia="Times New Roman" w:hAnsi="Times New Roman" w:cs="Times New Roman"/>
              </w:rPr>
            </w:pPr>
          </w:p>
        </w:tc>
        <w:tc>
          <w:tcPr>
            <w:tcW w:w="0" w:type="auto"/>
            <w:tcBorders>
              <w:top w:val="single" w:sz="8" w:space="0" w:color="AAAAAA"/>
              <w:left w:val="nil"/>
              <w:bottom w:val="single" w:sz="8" w:space="0" w:color="AAAAAA"/>
              <w:right w:val="single" w:sz="8" w:space="0" w:color="AAAAAA"/>
            </w:tcBorders>
            <w:tcMar>
              <w:top w:w="75" w:type="dxa"/>
              <w:left w:w="75" w:type="dxa"/>
              <w:bottom w:w="75" w:type="dxa"/>
              <w:right w:w="75" w:type="dxa"/>
            </w:tcMar>
            <w:hideMark/>
          </w:tcPr>
          <w:p w14:paraId="77A0766C" w14:textId="77777777" w:rsidR="00D17DAA" w:rsidRPr="0057305A" w:rsidRDefault="00D17DAA" w:rsidP="00D17DAA">
            <w:pPr>
              <w:rPr>
                <w:rFonts w:ascii="Times New Roman" w:eastAsia="Times New Roman" w:hAnsi="Times New Roman" w:cs="Times New Roman"/>
              </w:rPr>
            </w:pPr>
          </w:p>
        </w:tc>
      </w:tr>
      <w:tr w:rsidR="00D17DAA" w:rsidRPr="0057305A" w14:paraId="3DC94302" w14:textId="77777777" w:rsidTr="00D17DAA">
        <w:trPr>
          <w:trHeight w:val="412"/>
        </w:trPr>
        <w:tc>
          <w:tcPr>
            <w:tcW w:w="0" w:type="auto"/>
            <w:tcBorders>
              <w:top w:val="nil"/>
              <w:left w:val="single" w:sz="8" w:space="0" w:color="AAAAAA"/>
              <w:bottom w:val="single" w:sz="8" w:space="0" w:color="AAAAAA"/>
              <w:right w:val="single" w:sz="8" w:space="0" w:color="AAAAAA"/>
            </w:tcBorders>
            <w:tcMar>
              <w:top w:w="75" w:type="dxa"/>
              <w:left w:w="75" w:type="dxa"/>
              <w:bottom w:w="75" w:type="dxa"/>
              <w:right w:w="75" w:type="dxa"/>
            </w:tcMar>
            <w:hideMark/>
          </w:tcPr>
          <w:p w14:paraId="371CFB66" w14:textId="77777777" w:rsidR="00D17DAA" w:rsidRPr="0057305A" w:rsidRDefault="00D17DAA" w:rsidP="00D17DAA">
            <w:pPr>
              <w:rPr>
                <w:rFonts w:ascii="Times New Roman" w:eastAsia="Times New Roman" w:hAnsi="Times New Roman" w:cs="Times New Roman"/>
              </w:rPr>
            </w:pPr>
          </w:p>
        </w:tc>
        <w:tc>
          <w:tcPr>
            <w:tcW w:w="0" w:type="auto"/>
            <w:tcBorders>
              <w:top w:val="nil"/>
              <w:left w:val="nil"/>
              <w:bottom w:val="single" w:sz="8" w:space="0" w:color="AAAAAA"/>
              <w:right w:val="single" w:sz="8" w:space="0" w:color="AAAAAA"/>
            </w:tcBorders>
            <w:tcMar>
              <w:top w:w="75" w:type="dxa"/>
              <w:left w:w="75" w:type="dxa"/>
              <w:bottom w:w="75" w:type="dxa"/>
              <w:right w:w="75" w:type="dxa"/>
            </w:tcMar>
            <w:hideMark/>
          </w:tcPr>
          <w:p w14:paraId="6DE54E38" w14:textId="77777777" w:rsidR="00D17DAA" w:rsidRPr="001079CF" w:rsidRDefault="00D17DAA" w:rsidP="00D17DAA">
            <w:pPr>
              <w:rPr>
                <w:rFonts w:ascii="Segoe UI" w:eastAsia="Times New Roman" w:hAnsi="Segoe UI" w:cs="Segoe UI"/>
                <w:color w:val="000000"/>
                <w:sz w:val="16"/>
                <w:szCs w:val="16"/>
              </w:rPr>
            </w:pPr>
            <w:r w:rsidRPr="001079CF">
              <w:rPr>
                <w:rFonts w:ascii="Times New Roman" w:eastAsia="Times New Roman" w:hAnsi="Times New Roman" w:cs="Times New Roman"/>
                <w:b/>
                <w:bCs/>
                <w:color w:val="000000"/>
                <w:sz w:val="16"/>
                <w:szCs w:val="16"/>
              </w:rPr>
              <w:t>2023 Est by Seller</w:t>
            </w:r>
          </w:p>
        </w:tc>
        <w:tc>
          <w:tcPr>
            <w:tcW w:w="0" w:type="auto"/>
            <w:tcBorders>
              <w:top w:val="nil"/>
              <w:left w:val="nil"/>
              <w:bottom w:val="single" w:sz="8" w:space="0" w:color="AAAAAA"/>
              <w:right w:val="single" w:sz="8" w:space="0" w:color="AAAAAA"/>
            </w:tcBorders>
            <w:tcMar>
              <w:top w:w="75" w:type="dxa"/>
              <w:left w:w="75" w:type="dxa"/>
              <w:bottom w:w="75" w:type="dxa"/>
              <w:right w:w="75" w:type="dxa"/>
            </w:tcMar>
            <w:hideMark/>
          </w:tcPr>
          <w:p w14:paraId="10F6B634" w14:textId="77777777" w:rsidR="00D17DAA" w:rsidRPr="001079CF" w:rsidRDefault="00D17DAA" w:rsidP="00D17DAA">
            <w:pPr>
              <w:rPr>
                <w:rFonts w:ascii="Segoe UI" w:eastAsia="Times New Roman" w:hAnsi="Segoe UI" w:cs="Segoe UI"/>
                <w:color w:val="000000"/>
                <w:sz w:val="16"/>
                <w:szCs w:val="16"/>
              </w:rPr>
            </w:pPr>
            <w:r w:rsidRPr="001079CF">
              <w:rPr>
                <w:rFonts w:ascii="Times New Roman" w:eastAsia="Times New Roman" w:hAnsi="Times New Roman" w:cs="Times New Roman"/>
                <w:b/>
                <w:bCs/>
                <w:color w:val="000000"/>
                <w:sz w:val="16"/>
                <w:szCs w:val="16"/>
              </w:rPr>
              <w:t>2022</w:t>
            </w:r>
          </w:p>
        </w:tc>
        <w:tc>
          <w:tcPr>
            <w:tcW w:w="0" w:type="auto"/>
            <w:tcBorders>
              <w:top w:val="nil"/>
              <w:left w:val="nil"/>
              <w:bottom w:val="single" w:sz="8" w:space="0" w:color="AAAAAA"/>
              <w:right w:val="single" w:sz="8" w:space="0" w:color="AAAAAA"/>
            </w:tcBorders>
            <w:tcMar>
              <w:top w:w="75" w:type="dxa"/>
              <w:left w:w="75" w:type="dxa"/>
              <w:bottom w:w="75" w:type="dxa"/>
              <w:right w:w="75" w:type="dxa"/>
            </w:tcMar>
            <w:hideMark/>
          </w:tcPr>
          <w:p w14:paraId="63B8A61B" w14:textId="77777777" w:rsidR="00D17DAA" w:rsidRPr="001079CF" w:rsidRDefault="00D17DAA" w:rsidP="00D17DAA">
            <w:pPr>
              <w:rPr>
                <w:rFonts w:ascii="Segoe UI" w:eastAsia="Times New Roman" w:hAnsi="Segoe UI" w:cs="Segoe UI"/>
                <w:color w:val="000000"/>
                <w:sz w:val="16"/>
                <w:szCs w:val="16"/>
              </w:rPr>
            </w:pPr>
            <w:r w:rsidRPr="001079CF">
              <w:rPr>
                <w:rFonts w:ascii="Times New Roman" w:eastAsia="Times New Roman" w:hAnsi="Times New Roman" w:cs="Times New Roman"/>
                <w:b/>
                <w:bCs/>
                <w:color w:val="000000"/>
                <w:sz w:val="16"/>
                <w:szCs w:val="16"/>
              </w:rPr>
              <w:t>2021</w:t>
            </w:r>
          </w:p>
        </w:tc>
      </w:tr>
      <w:tr w:rsidR="00D17DAA" w:rsidRPr="0057305A" w14:paraId="69D5F528" w14:textId="77777777" w:rsidTr="00D17DAA">
        <w:trPr>
          <w:trHeight w:val="412"/>
        </w:trPr>
        <w:tc>
          <w:tcPr>
            <w:tcW w:w="0" w:type="auto"/>
            <w:tcBorders>
              <w:top w:val="nil"/>
              <w:left w:val="single" w:sz="8" w:space="0" w:color="AAAAAA"/>
              <w:bottom w:val="single" w:sz="8" w:space="0" w:color="AAAAAA"/>
              <w:right w:val="single" w:sz="8" w:space="0" w:color="AAAAAA"/>
            </w:tcBorders>
            <w:tcMar>
              <w:top w:w="75" w:type="dxa"/>
              <w:left w:w="75" w:type="dxa"/>
              <w:bottom w:w="75" w:type="dxa"/>
              <w:right w:w="75" w:type="dxa"/>
            </w:tcMar>
            <w:hideMark/>
          </w:tcPr>
          <w:p w14:paraId="6D1C7E76" w14:textId="77777777" w:rsidR="00D17DAA" w:rsidRPr="001079CF" w:rsidRDefault="00D17DAA" w:rsidP="00D17DAA">
            <w:pPr>
              <w:rPr>
                <w:rFonts w:ascii="Segoe UI" w:eastAsia="Times New Roman" w:hAnsi="Segoe UI" w:cs="Segoe UI"/>
                <w:color w:val="000000"/>
                <w:sz w:val="16"/>
                <w:szCs w:val="16"/>
              </w:rPr>
            </w:pPr>
            <w:r w:rsidRPr="001079CF">
              <w:rPr>
                <w:rFonts w:ascii="Times New Roman" w:eastAsia="Times New Roman" w:hAnsi="Times New Roman" w:cs="Times New Roman"/>
                <w:b/>
                <w:bCs/>
                <w:color w:val="000000"/>
                <w:sz w:val="16"/>
                <w:szCs w:val="16"/>
              </w:rPr>
              <w:t>Revenue</w:t>
            </w:r>
          </w:p>
        </w:tc>
        <w:tc>
          <w:tcPr>
            <w:tcW w:w="0" w:type="auto"/>
            <w:tcBorders>
              <w:top w:val="nil"/>
              <w:left w:val="nil"/>
              <w:bottom w:val="single" w:sz="8" w:space="0" w:color="AAAAAA"/>
              <w:right w:val="single" w:sz="8" w:space="0" w:color="AAAAAA"/>
            </w:tcBorders>
            <w:tcMar>
              <w:top w:w="75" w:type="dxa"/>
              <w:left w:w="75" w:type="dxa"/>
              <w:bottom w:w="75" w:type="dxa"/>
              <w:right w:w="75" w:type="dxa"/>
            </w:tcMar>
            <w:hideMark/>
          </w:tcPr>
          <w:p w14:paraId="792C73CB" w14:textId="77777777" w:rsidR="00D17DAA" w:rsidRPr="001079CF" w:rsidRDefault="00D17DAA" w:rsidP="00D17DAA">
            <w:pPr>
              <w:rPr>
                <w:rFonts w:ascii="Segoe UI" w:eastAsia="Times New Roman" w:hAnsi="Segoe UI" w:cs="Segoe UI"/>
                <w:color w:val="000000"/>
                <w:sz w:val="16"/>
                <w:szCs w:val="16"/>
              </w:rPr>
            </w:pPr>
            <w:r w:rsidRPr="001079CF">
              <w:rPr>
                <w:rFonts w:ascii="Times New Roman" w:eastAsia="Times New Roman" w:hAnsi="Times New Roman" w:cs="Times New Roman"/>
                <w:color w:val="000000"/>
                <w:sz w:val="16"/>
                <w:szCs w:val="16"/>
              </w:rPr>
              <w:t>$20M</w:t>
            </w:r>
          </w:p>
        </w:tc>
        <w:tc>
          <w:tcPr>
            <w:tcW w:w="0" w:type="auto"/>
            <w:tcBorders>
              <w:top w:val="nil"/>
              <w:left w:val="nil"/>
              <w:bottom w:val="single" w:sz="8" w:space="0" w:color="AAAAAA"/>
              <w:right w:val="single" w:sz="8" w:space="0" w:color="AAAAAA"/>
            </w:tcBorders>
            <w:tcMar>
              <w:top w:w="75" w:type="dxa"/>
              <w:left w:w="75" w:type="dxa"/>
              <w:bottom w:w="75" w:type="dxa"/>
              <w:right w:w="75" w:type="dxa"/>
            </w:tcMar>
            <w:hideMark/>
          </w:tcPr>
          <w:p w14:paraId="3963278F" w14:textId="77777777" w:rsidR="00D17DAA" w:rsidRPr="001079CF" w:rsidRDefault="00D17DAA" w:rsidP="00D17DAA">
            <w:pPr>
              <w:rPr>
                <w:rFonts w:ascii="Segoe UI" w:eastAsia="Times New Roman" w:hAnsi="Segoe UI" w:cs="Segoe UI"/>
                <w:color w:val="000000"/>
                <w:sz w:val="16"/>
                <w:szCs w:val="16"/>
              </w:rPr>
            </w:pPr>
            <w:r w:rsidRPr="001079CF">
              <w:rPr>
                <w:rFonts w:ascii="Times New Roman" w:eastAsia="Times New Roman" w:hAnsi="Times New Roman" w:cs="Times New Roman"/>
                <w:color w:val="000000"/>
                <w:sz w:val="16"/>
                <w:szCs w:val="16"/>
              </w:rPr>
              <w:t>$8.7M</w:t>
            </w:r>
          </w:p>
        </w:tc>
        <w:tc>
          <w:tcPr>
            <w:tcW w:w="0" w:type="auto"/>
            <w:tcBorders>
              <w:top w:val="nil"/>
              <w:left w:val="nil"/>
              <w:bottom w:val="single" w:sz="8" w:space="0" w:color="AAAAAA"/>
              <w:right w:val="single" w:sz="8" w:space="0" w:color="AAAAAA"/>
            </w:tcBorders>
            <w:tcMar>
              <w:top w:w="75" w:type="dxa"/>
              <w:left w:w="75" w:type="dxa"/>
              <w:bottom w:w="75" w:type="dxa"/>
              <w:right w:w="75" w:type="dxa"/>
            </w:tcMar>
            <w:hideMark/>
          </w:tcPr>
          <w:p w14:paraId="2BF179AF" w14:textId="77777777" w:rsidR="00D17DAA" w:rsidRPr="001079CF" w:rsidRDefault="00D17DAA" w:rsidP="00D17DAA">
            <w:pPr>
              <w:rPr>
                <w:rFonts w:ascii="Segoe UI" w:eastAsia="Times New Roman" w:hAnsi="Segoe UI" w:cs="Segoe UI"/>
                <w:color w:val="000000"/>
                <w:sz w:val="16"/>
                <w:szCs w:val="16"/>
              </w:rPr>
            </w:pPr>
            <w:r w:rsidRPr="001079CF">
              <w:rPr>
                <w:rFonts w:ascii="Times New Roman" w:eastAsia="Times New Roman" w:hAnsi="Times New Roman" w:cs="Times New Roman"/>
                <w:color w:val="000000"/>
                <w:sz w:val="16"/>
                <w:szCs w:val="16"/>
              </w:rPr>
              <w:t>$5.2M</w:t>
            </w:r>
          </w:p>
        </w:tc>
      </w:tr>
      <w:tr w:rsidR="00D17DAA" w:rsidRPr="0057305A" w14:paraId="7A126C2E" w14:textId="77777777" w:rsidTr="00D17DAA">
        <w:trPr>
          <w:trHeight w:val="412"/>
        </w:trPr>
        <w:tc>
          <w:tcPr>
            <w:tcW w:w="0" w:type="auto"/>
            <w:tcBorders>
              <w:top w:val="nil"/>
              <w:left w:val="single" w:sz="8" w:space="0" w:color="AAAAAA"/>
              <w:bottom w:val="single" w:sz="8" w:space="0" w:color="AAAAAA"/>
              <w:right w:val="single" w:sz="8" w:space="0" w:color="AAAAAA"/>
            </w:tcBorders>
            <w:tcMar>
              <w:top w:w="75" w:type="dxa"/>
              <w:left w:w="75" w:type="dxa"/>
              <w:bottom w:w="75" w:type="dxa"/>
              <w:right w:w="75" w:type="dxa"/>
            </w:tcMar>
            <w:hideMark/>
          </w:tcPr>
          <w:p w14:paraId="502ADD6A" w14:textId="77777777" w:rsidR="00D17DAA" w:rsidRPr="001079CF" w:rsidRDefault="00D17DAA" w:rsidP="00D17DAA">
            <w:pPr>
              <w:rPr>
                <w:rFonts w:ascii="Segoe UI" w:eastAsia="Times New Roman" w:hAnsi="Segoe UI" w:cs="Segoe UI"/>
                <w:color w:val="000000"/>
                <w:sz w:val="16"/>
                <w:szCs w:val="16"/>
              </w:rPr>
            </w:pPr>
            <w:r w:rsidRPr="001079CF">
              <w:rPr>
                <w:rFonts w:ascii="Times New Roman" w:eastAsia="Times New Roman" w:hAnsi="Times New Roman" w:cs="Times New Roman"/>
                <w:b/>
                <w:bCs/>
                <w:color w:val="000000"/>
                <w:sz w:val="16"/>
                <w:szCs w:val="16"/>
              </w:rPr>
              <w:t>Adjusted EBITDA</w:t>
            </w:r>
          </w:p>
        </w:tc>
        <w:tc>
          <w:tcPr>
            <w:tcW w:w="0" w:type="auto"/>
            <w:tcBorders>
              <w:top w:val="nil"/>
              <w:left w:val="nil"/>
              <w:bottom w:val="single" w:sz="8" w:space="0" w:color="AAAAAA"/>
              <w:right w:val="single" w:sz="8" w:space="0" w:color="AAAAAA"/>
            </w:tcBorders>
            <w:tcMar>
              <w:top w:w="75" w:type="dxa"/>
              <w:left w:w="75" w:type="dxa"/>
              <w:bottom w:w="75" w:type="dxa"/>
              <w:right w:w="75" w:type="dxa"/>
            </w:tcMar>
            <w:hideMark/>
          </w:tcPr>
          <w:p w14:paraId="177D1C34" w14:textId="77777777" w:rsidR="00D17DAA" w:rsidRPr="001079CF" w:rsidRDefault="00D17DAA" w:rsidP="00D17DAA">
            <w:pPr>
              <w:rPr>
                <w:rFonts w:ascii="Segoe UI" w:eastAsia="Times New Roman" w:hAnsi="Segoe UI" w:cs="Segoe UI"/>
                <w:color w:val="000000"/>
                <w:sz w:val="16"/>
                <w:szCs w:val="16"/>
              </w:rPr>
            </w:pPr>
            <w:r w:rsidRPr="001079CF">
              <w:rPr>
                <w:rFonts w:ascii="Times New Roman" w:eastAsia="Times New Roman" w:hAnsi="Times New Roman" w:cs="Times New Roman"/>
                <w:color w:val="000000"/>
                <w:sz w:val="16"/>
                <w:szCs w:val="16"/>
              </w:rPr>
              <w:t>$7M</w:t>
            </w:r>
          </w:p>
        </w:tc>
        <w:tc>
          <w:tcPr>
            <w:tcW w:w="0" w:type="auto"/>
            <w:tcBorders>
              <w:top w:val="nil"/>
              <w:left w:val="nil"/>
              <w:bottom w:val="single" w:sz="8" w:space="0" w:color="AAAAAA"/>
              <w:right w:val="single" w:sz="8" w:space="0" w:color="AAAAAA"/>
            </w:tcBorders>
            <w:tcMar>
              <w:top w:w="75" w:type="dxa"/>
              <w:left w:w="75" w:type="dxa"/>
              <w:bottom w:w="75" w:type="dxa"/>
              <w:right w:w="75" w:type="dxa"/>
            </w:tcMar>
            <w:hideMark/>
          </w:tcPr>
          <w:p w14:paraId="35AFB18F" w14:textId="77777777" w:rsidR="00D17DAA" w:rsidRPr="001079CF" w:rsidRDefault="00D17DAA" w:rsidP="00D17DAA">
            <w:pPr>
              <w:rPr>
                <w:rFonts w:ascii="Segoe UI" w:eastAsia="Times New Roman" w:hAnsi="Segoe UI" w:cs="Segoe UI"/>
                <w:color w:val="000000"/>
                <w:sz w:val="16"/>
                <w:szCs w:val="16"/>
              </w:rPr>
            </w:pPr>
            <w:r w:rsidRPr="001079CF">
              <w:rPr>
                <w:rFonts w:ascii="Times New Roman" w:eastAsia="Times New Roman" w:hAnsi="Times New Roman" w:cs="Times New Roman"/>
                <w:color w:val="000000"/>
                <w:sz w:val="16"/>
                <w:szCs w:val="16"/>
              </w:rPr>
              <w:t>$3.6M</w:t>
            </w:r>
          </w:p>
        </w:tc>
        <w:tc>
          <w:tcPr>
            <w:tcW w:w="0" w:type="auto"/>
            <w:tcBorders>
              <w:top w:val="nil"/>
              <w:left w:val="nil"/>
              <w:bottom w:val="single" w:sz="8" w:space="0" w:color="AAAAAA"/>
              <w:right w:val="single" w:sz="8" w:space="0" w:color="AAAAAA"/>
            </w:tcBorders>
            <w:tcMar>
              <w:top w:w="75" w:type="dxa"/>
              <w:left w:w="75" w:type="dxa"/>
              <w:bottom w:w="75" w:type="dxa"/>
              <w:right w:w="75" w:type="dxa"/>
            </w:tcMar>
            <w:hideMark/>
          </w:tcPr>
          <w:p w14:paraId="303B9D68" w14:textId="77777777" w:rsidR="00D17DAA" w:rsidRPr="001079CF" w:rsidRDefault="00D17DAA" w:rsidP="00D17DAA">
            <w:pPr>
              <w:rPr>
                <w:rFonts w:ascii="Segoe UI" w:eastAsia="Times New Roman" w:hAnsi="Segoe UI" w:cs="Segoe UI"/>
                <w:color w:val="000000"/>
                <w:sz w:val="16"/>
                <w:szCs w:val="16"/>
              </w:rPr>
            </w:pPr>
            <w:r w:rsidRPr="001079CF">
              <w:rPr>
                <w:rFonts w:ascii="Times New Roman" w:eastAsia="Times New Roman" w:hAnsi="Times New Roman" w:cs="Times New Roman"/>
                <w:color w:val="000000"/>
                <w:sz w:val="16"/>
                <w:szCs w:val="16"/>
              </w:rPr>
              <w:t>$1.2M</w:t>
            </w:r>
          </w:p>
        </w:tc>
      </w:tr>
    </w:tbl>
    <w:p w14:paraId="0D5B636E" w14:textId="6E38340C" w:rsidR="0057305A" w:rsidRPr="001079CF" w:rsidRDefault="0057305A" w:rsidP="0057305A">
      <w:pPr>
        <w:rPr>
          <w:rFonts w:ascii="Segoe UI" w:eastAsia="Times New Roman" w:hAnsi="Segoe UI" w:cs="Segoe UI"/>
          <w:color w:val="000000"/>
          <w:sz w:val="19"/>
          <w:szCs w:val="19"/>
        </w:rPr>
      </w:pPr>
      <w:r w:rsidRPr="001079CF">
        <w:rPr>
          <w:rFonts w:ascii="Times New Roman" w:eastAsia="Times New Roman" w:hAnsi="Times New Roman" w:cs="Times New Roman"/>
          <w:color w:val="000000"/>
          <w:sz w:val="19"/>
          <w:szCs w:val="19"/>
        </w:rPr>
        <w:t>• Industrial: Currently, 15% of the Company’s revenue derives from demolition, clearing, and</w:t>
      </w:r>
      <w:r w:rsidR="001079CF" w:rsidRPr="001079CF">
        <w:rPr>
          <w:rFonts w:ascii="Times New Roman" w:eastAsia="Times New Roman" w:hAnsi="Times New Roman" w:cs="Times New Roman"/>
          <w:color w:val="000000"/>
          <w:sz w:val="19"/>
          <w:szCs w:val="19"/>
        </w:rPr>
        <w:t xml:space="preserve"> </w:t>
      </w:r>
      <w:r w:rsidRPr="001079CF">
        <w:rPr>
          <w:rFonts w:ascii="Times New Roman" w:eastAsia="Times New Roman" w:hAnsi="Times New Roman" w:cs="Times New Roman"/>
          <w:color w:val="000000"/>
          <w:sz w:val="19"/>
          <w:szCs w:val="19"/>
        </w:rPr>
        <w:t xml:space="preserve">underground utilities. </w:t>
      </w:r>
    </w:p>
    <w:p w14:paraId="7AF5257F" w14:textId="0B1C0DDC" w:rsidR="001079CF" w:rsidRPr="001079CF" w:rsidRDefault="001079CF" w:rsidP="0057305A">
      <w:pPr>
        <w:rPr>
          <w:rFonts w:ascii="Times New Roman" w:eastAsia="Times New Roman" w:hAnsi="Times New Roman" w:cs="Times New Roman"/>
          <w:color w:val="000000"/>
          <w:sz w:val="19"/>
          <w:szCs w:val="19"/>
        </w:rPr>
      </w:pPr>
    </w:p>
    <w:p w14:paraId="206655B1" w14:textId="77777777" w:rsidR="001079CF" w:rsidRPr="001079CF" w:rsidRDefault="001079CF" w:rsidP="001079CF">
      <w:pPr>
        <w:rPr>
          <w:rFonts w:ascii="Segoe UI" w:eastAsia="Times New Roman" w:hAnsi="Segoe UI" w:cs="Segoe UI"/>
          <w:color w:val="000000"/>
          <w:sz w:val="19"/>
          <w:szCs w:val="19"/>
        </w:rPr>
      </w:pPr>
      <w:r w:rsidRPr="001079CF">
        <w:rPr>
          <w:rFonts w:ascii="Times New Roman" w:eastAsia="Times New Roman" w:hAnsi="Times New Roman" w:cs="Times New Roman"/>
          <w:color w:val="000000"/>
          <w:sz w:val="19"/>
          <w:szCs w:val="19"/>
        </w:rPr>
        <w:t>Service Overview</w:t>
      </w:r>
    </w:p>
    <w:p w14:paraId="0F0B02F3" w14:textId="357ED3B7" w:rsidR="001079CF" w:rsidRPr="001079CF" w:rsidRDefault="001079CF" w:rsidP="0057305A">
      <w:pPr>
        <w:rPr>
          <w:rFonts w:ascii="Segoe UI" w:eastAsia="Times New Roman" w:hAnsi="Segoe UI" w:cs="Segoe UI"/>
          <w:color w:val="000000"/>
          <w:sz w:val="20"/>
          <w:szCs w:val="20"/>
        </w:rPr>
      </w:pPr>
      <w:r w:rsidRPr="001079CF">
        <w:rPr>
          <w:rFonts w:ascii="Times New Roman" w:eastAsia="Times New Roman" w:hAnsi="Times New Roman" w:cs="Times New Roman"/>
          <w:color w:val="000000"/>
          <w:sz w:val="19"/>
          <w:szCs w:val="19"/>
        </w:rPr>
        <w:t>The Company provides excavation, earthmoving, underground utilities, commercial development, road work, and civil</w:t>
      </w:r>
      <w:r>
        <w:rPr>
          <w:rFonts w:ascii="Times New Roman" w:eastAsia="Times New Roman" w:hAnsi="Times New Roman" w:cs="Times New Roman"/>
          <w:color w:val="000000"/>
          <w:sz w:val="20"/>
          <w:szCs w:val="20"/>
        </w:rPr>
        <w:t xml:space="preserve"> </w:t>
      </w:r>
      <w:r w:rsidRPr="001079CF">
        <w:rPr>
          <w:rFonts w:ascii="Times New Roman" w:eastAsia="Times New Roman" w:hAnsi="Times New Roman" w:cs="Times New Roman"/>
          <w:color w:val="000000"/>
          <w:sz w:val="20"/>
          <w:szCs w:val="20"/>
        </w:rPr>
        <w:t>infrastructure. In addition, the Company provides demolition and concrete work.</w:t>
      </w:r>
    </w:p>
    <w:p w14:paraId="0DE83DB0" w14:textId="77777777" w:rsidR="001079CF" w:rsidRDefault="001079CF" w:rsidP="001079CF">
      <w:pPr>
        <w:rPr>
          <w:rFonts w:ascii="Times New Roman" w:eastAsia="Times New Roman" w:hAnsi="Times New Roman" w:cs="Times New Roman"/>
          <w:b/>
          <w:bCs/>
          <w:color w:val="000000"/>
          <w:sz w:val="20"/>
          <w:szCs w:val="20"/>
        </w:rPr>
      </w:pPr>
    </w:p>
    <w:p w14:paraId="055CD5D0" w14:textId="77777777" w:rsidR="00D17DAA" w:rsidRDefault="00D17DAA" w:rsidP="001079CF">
      <w:pPr>
        <w:rPr>
          <w:rFonts w:ascii="Times New Roman" w:eastAsia="Times New Roman" w:hAnsi="Times New Roman" w:cs="Times New Roman"/>
          <w:b/>
          <w:bCs/>
          <w:color w:val="000000"/>
          <w:sz w:val="20"/>
          <w:szCs w:val="20"/>
        </w:rPr>
      </w:pPr>
    </w:p>
    <w:p w14:paraId="263F9CB0" w14:textId="77777777" w:rsidR="00D17DAA" w:rsidRDefault="00D17DAA" w:rsidP="001079CF">
      <w:pPr>
        <w:rPr>
          <w:rFonts w:ascii="Times New Roman" w:eastAsia="Times New Roman" w:hAnsi="Times New Roman" w:cs="Times New Roman"/>
          <w:b/>
          <w:bCs/>
          <w:color w:val="000000"/>
          <w:sz w:val="20"/>
          <w:szCs w:val="20"/>
        </w:rPr>
      </w:pPr>
    </w:p>
    <w:p w14:paraId="0EE20F08" w14:textId="77777777" w:rsidR="00D17DAA" w:rsidRDefault="00D17DAA" w:rsidP="001079CF">
      <w:pPr>
        <w:rPr>
          <w:rFonts w:ascii="Times New Roman" w:eastAsia="Times New Roman" w:hAnsi="Times New Roman" w:cs="Times New Roman"/>
          <w:b/>
          <w:bCs/>
          <w:color w:val="000000"/>
          <w:sz w:val="20"/>
          <w:szCs w:val="20"/>
        </w:rPr>
      </w:pPr>
    </w:p>
    <w:p w14:paraId="43FF803B" w14:textId="77777777" w:rsidR="00D17DAA" w:rsidRDefault="00D17DAA" w:rsidP="001079CF">
      <w:pPr>
        <w:rPr>
          <w:rFonts w:ascii="Times New Roman" w:eastAsia="Times New Roman" w:hAnsi="Times New Roman" w:cs="Times New Roman"/>
          <w:b/>
          <w:bCs/>
          <w:color w:val="000000"/>
          <w:sz w:val="20"/>
          <w:szCs w:val="20"/>
        </w:rPr>
      </w:pPr>
    </w:p>
    <w:p w14:paraId="09DEC5BC" w14:textId="77777777" w:rsidR="00D17DAA" w:rsidRDefault="00D17DAA" w:rsidP="001079CF">
      <w:pPr>
        <w:rPr>
          <w:rFonts w:ascii="Times New Roman" w:eastAsia="Times New Roman" w:hAnsi="Times New Roman" w:cs="Times New Roman"/>
          <w:b/>
          <w:bCs/>
          <w:color w:val="000000"/>
          <w:sz w:val="20"/>
          <w:szCs w:val="20"/>
        </w:rPr>
      </w:pPr>
    </w:p>
    <w:p w14:paraId="3ED8922F" w14:textId="77777777" w:rsidR="00D17DAA" w:rsidRDefault="00D17DAA" w:rsidP="001079CF">
      <w:pPr>
        <w:rPr>
          <w:rFonts w:ascii="Times New Roman" w:eastAsia="Times New Roman" w:hAnsi="Times New Roman" w:cs="Times New Roman"/>
          <w:b/>
          <w:bCs/>
          <w:color w:val="000000"/>
          <w:sz w:val="20"/>
          <w:szCs w:val="20"/>
        </w:rPr>
      </w:pPr>
    </w:p>
    <w:p w14:paraId="10528A75" w14:textId="77777777" w:rsidR="00D17DAA" w:rsidRDefault="00D17DAA" w:rsidP="001079CF">
      <w:pPr>
        <w:rPr>
          <w:rFonts w:ascii="Times New Roman" w:eastAsia="Times New Roman" w:hAnsi="Times New Roman" w:cs="Times New Roman"/>
          <w:b/>
          <w:bCs/>
          <w:color w:val="000000"/>
          <w:sz w:val="20"/>
          <w:szCs w:val="20"/>
        </w:rPr>
      </w:pPr>
    </w:p>
    <w:p w14:paraId="031CFD0C" w14:textId="299D2C7A" w:rsidR="001079CF" w:rsidRDefault="001079CF" w:rsidP="001079CF">
      <w:pPr>
        <w:rPr>
          <w:rFonts w:ascii="Times New Roman" w:eastAsia="Times New Roman" w:hAnsi="Times New Roman" w:cs="Times New Roman"/>
          <w:color w:val="000000"/>
          <w:sz w:val="20"/>
          <w:szCs w:val="20"/>
        </w:rPr>
      </w:pPr>
      <w:r w:rsidRPr="001079CF">
        <w:rPr>
          <w:rFonts w:ascii="Times New Roman" w:eastAsia="Times New Roman" w:hAnsi="Times New Roman" w:cs="Times New Roman"/>
          <w:b/>
          <w:bCs/>
          <w:color w:val="000000"/>
          <w:sz w:val="20"/>
          <w:szCs w:val="20"/>
        </w:rPr>
        <w:t xml:space="preserve">Strong Revenue Growth — </w:t>
      </w:r>
      <w:r w:rsidRPr="001079CF">
        <w:rPr>
          <w:rFonts w:ascii="Times New Roman" w:eastAsia="Times New Roman" w:hAnsi="Times New Roman" w:cs="Times New Roman"/>
          <w:color w:val="000000"/>
          <w:sz w:val="20"/>
          <w:szCs w:val="20"/>
        </w:rPr>
        <w:t>During the last several years the Company’s revenue grew from $5</w:t>
      </w:r>
      <w:r>
        <w:rPr>
          <w:rFonts w:ascii="Times New Roman" w:eastAsia="Times New Roman" w:hAnsi="Times New Roman" w:cs="Times New Roman"/>
          <w:color w:val="000000"/>
          <w:sz w:val="20"/>
          <w:szCs w:val="20"/>
        </w:rPr>
        <w:t>.2</w:t>
      </w:r>
      <w:r w:rsidRPr="001079CF">
        <w:rPr>
          <w:rFonts w:ascii="Times New Roman" w:eastAsia="Times New Roman" w:hAnsi="Times New Roman" w:cs="Times New Roman"/>
          <w:color w:val="000000"/>
          <w:sz w:val="20"/>
          <w:szCs w:val="20"/>
        </w:rPr>
        <w:t xml:space="preserve"> million in FY 20</w:t>
      </w:r>
      <w:r>
        <w:rPr>
          <w:rFonts w:ascii="Times New Roman" w:eastAsia="Times New Roman" w:hAnsi="Times New Roman" w:cs="Times New Roman"/>
          <w:color w:val="000000"/>
          <w:sz w:val="20"/>
          <w:szCs w:val="20"/>
        </w:rPr>
        <w:t>20</w:t>
      </w:r>
      <w:r w:rsidRPr="001079CF">
        <w:rPr>
          <w:rFonts w:ascii="Times New Roman" w:eastAsia="Times New Roman" w:hAnsi="Times New Roman" w:cs="Times New Roman"/>
          <w:color w:val="000000"/>
          <w:sz w:val="20"/>
          <w:szCs w:val="20"/>
        </w:rPr>
        <w:t xml:space="preserve"> to $</w:t>
      </w:r>
      <w:r>
        <w:rPr>
          <w:rFonts w:ascii="Times New Roman" w:eastAsia="Times New Roman" w:hAnsi="Times New Roman" w:cs="Times New Roman"/>
          <w:color w:val="000000"/>
          <w:sz w:val="20"/>
          <w:szCs w:val="20"/>
        </w:rPr>
        <w:t>20</w:t>
      </w:r>
      <w:r w:rsidRPr="001079CF">
        <w:rPr>
          <w:rFonts w:ascii="Times New Roman" w:eastAsia="Times New Roman" w:hAnsi="Times New Roman" w:cs="Times New Roman"/>
          <w:color w:val="000000"/>
          <w:sz w:val="20"/>
          <w:szCs w:val="20"/>
        </w:rPr>
        <w:t xml:space="preserve"> million in FY 20</w:t>
      </w:r>
      <w:r>
        <w:rPr>
          <w:rFonts w:ascii="Times New Roman" w:eastAsia="Times New Roman" w:hAnsi="Times New Roman" w:cs="Times New Roman"/>
          <w:color w:val="000000"/>
          <w:sz w:val="20"/>
          <w:szCs w:val="20"/>
        </w:rPr>
        <w:t>23.</w:t>
      </w:r>
      <w:r w:rsidRPr="001079CF">
        <w:rPr>
          <w:rFonts w:ascii="Times New Roman" w:eastAsia="Times New Roman" w:hAnsi="Times New Roman" w:cs="Times New Roman"/>
          <w:color w:val="000000"/>
          <w:sz w:val="20"/>
          <w:szCs w:val="20"/>
        </w:rPr>
        <w:t xml:space="preserve"> It was awarded several large multi-year projects </w:t>
      </w:r>
      <w:r>
        <w:rPr>
          <w:rFonts w:ascii="Times New Roman" w:eastAsia="Times New Roman" w:hAnsi="Times New Roman" w:cs="Times New Roman"/>
          <w:color w:val="000000"/>
          <w:sz w:val="20"/>
          <w:szCs w:val="20"/>
        </w:rPr>
        <w:t>as infrastructure needs and maintenance requirements have grown</w:t>
      </w:r>
      <w:r w:rsidRPr="001079CF">
        <w:rPr>
          <w:rFonts w:ascii="Times New Roman" w:eastAsia="Times New Roman" w:hAnsi="Times New Roman" w:cs="Times New Roman"/>
          <w:color w:val="000000"/>
          <w:sz w:val="20"/>
          <w:szCs w:val="20"/>
        </w:rPr>
        <w:t>. During that time, the Company invested heavily in capital equipment and its work force</w:t>
      </w:r>
      <w:r>
        <w:rPr>
          <w:rFonts w:ascii="Times New Roman" w:eastAsia="Times New Roman" w:hAnsi="Times New Roman" w:cs="Times New Roman"/>
          <w:color w:val="000000"/>
          <w:sz w:val="20"/>
          <w:szCs w:val="20"/>
        </w:rPr>
        <w:t xml:space="preserve"> and equipment</w:t>
      </w:r>
      <w:r w:rsidRPr="001079CF">
        <w:rPr>
          <w:rFonts w:ascii="Times New Roman" w:eastAsia="Times New Roman" w:hAnsi="Times New Roman" w:cs="Times New Roman"/>
          <w:color w:val="000000"/>
          <w:sz w:val="20"/>
          <w:szCs w:val="20"/>
        </w:rPr>
        <w:t xml:space="preserve">. The Company currently has a strong backlog of projects for its services including </w:t>
      </w:r>
      <w:r>
        <w:rPr>
          <w:rFonts w:ascii="Times New Roman" w:eastAsia="Times New Roman" w:hAnsi="Times New Roman" w:cs="Times New Roman"/>
          <w:color w:val="000000"/>
          <w:sz w:val="20"/>
          <w:szCs w:val="20"/>
        </w:rPr>
        <w:t>several government entities</w:t>
      </w:r>
      <w:r w:rsidRPr="001079CF">
        <w:rPr>
          <w:rFonts w:ascii="Times New Roman" w:eastAsia="Times New Roman" w:hAnsi="Times New Roman" w:cs="Times New Roman"/>
          <w:color w:val="000000"/>
          <w:sz w:val="20"/>
          <w:szCs w:val="20"/>
        </w:rPr>
        <w:t xml:space="preserve">. Management is confident the Company will continue its growth path. </w:t>
      </w:r>
      <w:r w:rsidR="00D17DAA">
        <w:rPr>
          <w:rFonts w:ascii="Times New Roman" w:eastAsia="Times New Roman" w:hAnsi="Times New Roman" w:cs="Times New Roman"/>
          <w:color w:val="000000"/>
          <w:sz w:val="20"/>
          <w:szCs w:val="20"/>
        </w:rPr>
        <w:t xml:space="preserve">The company offers a 3-year cash return on investment of 56%. At current growth, 2026 would consist of a 77M EV that has the potential to exit at 4.4x rev multiple. </w:t>
      </w:r>
    </w:p>
    <w:p w14:paraId="2046E272" w14:textId="77777777" w:rsidR="00D17DAA" w:rsidRDefault="00D17DAA" w:rsidP="00D17DAA">
      <w:pPr>
        <w:rPr>
          <w:rFonts w:ascii="Times New Roman" w:eastAsia="Times New Roman" w:hAnsi="Times New Roman" w:cs="Times New Roman"/>
          <w:b/>
          <w:bCs/>
          <w:color w:val="000000"/>
          <w:sz w:val="20"/>
          <w:szCs w:val="20"/>
        </w:rPr>
      </w:pPr>
    </w:p>
    <w:p w14:paraId="6A30C358" w14:textId="30D86AE7" w:rsidR="00D17DAA" w:rsidRPr="00D17DAA" w:rsidRDefault="00D17DAA" w:rsidP="001079CF">
      <w:pPr>
        <w:rPr>
          <w:rFonts w:ascii="Times New Roman" w:hAnsi="Times New Roman" w:cs="Times New Roman"/>
        </w:rPr>
      </w:pPr>
      <w:r>
        <w:rPr>
          <w:rFonts w:ascii="Times New Roman" w:eastAsia="Times New Roman" w:hAnsi="Times New Roman" w:cs="Times New Roman"/>
          <w:b/>
          <w:bCs/>
          <w:color w:val="000000"/>
          <w:sz w:val="20"/>
          <w:szCs w:val="20"/>
        </w:rPr>
        <w:t xml:space="preserve">Stability &amp; Downside Risk Protection </w:t>
      </w:r>
      <w:r w:rsidRPr="001079CF">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 xml:space="preserve"> </w:t>
      </w:r>
      <w:r w:rsidRPr="00D17DAA">
        <w:rPr>
          <w:rFonts w:ascii="Times New Roman" w:eastAsia="Times New Roman" w:hAnsi="Times New Roman" w:cs="Times New Roman"/>
          <w:color w:val="000000"/>
          <w:sz w:val="20"/>
          <w:szCs w:val="20"/>
        </w:rPr>
        <w:t xml:space="preserve">$1T in infrastructure tax bills </w:t>
      </w:r>
      <w:r>
        <w:rPr>
          <w:rFonts w:ascii="Times New Roman" w:eastAsia="Times New Roman" w:hAnsi="Times New Roman" w:cs="Times New Roman"/>
          <w:color w:val="000000"/>
          <w:sz w:val="20"/>
          <w:szCs w:val="20"/>
        </w:rPr>
        <w:t xml:space="preserve">passed. At least $16.3B of it is allocated to Florida. Extra protection is added via the natural hedging of the cyclicality in markets. When household spending stops and the market contracts, more money is allocated into infrastructure. This project also offers $28M in WIP over the next 12 months, with more projects to be added. Paired with short term and long-term milestones, cash is consistent and can be expanded with a maintenance strategy.  </w:t>
      </w:r>
    </w:p>
    <w:p w14:paraId="0A2456A2" w14:textId="77777777" w:rsidR="001079CF" w:rsidRPr="001079CF" w:rsidRDefault="001079CF" w:rsidP="001079CF">
      <w:pPr>
        <w:rPr>
          <w:rFonts w:ascii="Times New Roman" w:eastAsia="Times New Roman" w:hAnsi="Times New Roman" w:cs="Times New Roman"/>
          <w:b/>
          <w:bCs/>
          <w:color w:val="000000"/>
          <w:sz w:val="20"/>
          <w:szCs w:val="20"/>
        </w:rPr>
      </w:pPr>
    </w:p>
    <w:p w14:paraId="2F1C2AD8" w14:textId="06B7BE00" w:rsidR="001079CF" w:rsidRPr="001079CF" w:rsidRDefault="001079CF" w:rsidP="001079CF">
      <w:pPr>
        <w:rPr>
          <w:rFonts w:ascii="Times New Roman" w:eastAsia="Times New Roman" w:hAnsi="Times New Roman" w:cs="Times New Roman"/>
          <w:color w:val="000000"/>
          <w:sz w:val="20"/>
          <w:szCs w:val="20"/>
        </w:rPr>
      </w:pPr>
      <w:r w:rsidRPr="001079CF">
        <w:rPr>
          <w:rFonts w:ascii="Times New Roman" w:eastAsia="Times New Roman" w:hAnsi="Times New Roman" w:cs="Times New Roman"/>
          <w:b/>
          <w:bCs/>
          <w:color w:val="000000"/>
          <w:sz w:val="20"/>
          <w:szCs w:val="20"/>
        </w:rPr>
        <w:t xml:space="preserve">Highly Attractive Fundamentals— </w:t>
      </w:r>
      <w:r w:rsidRPr="001079CF">
        <w:rPr>
          <w:rFonts w:ascii="Times New Roman" w:eastAsia="Times New Roman" w:hAnsi="Times New Roman" w:cs="Times New Roman"/>
          <w:color w:val="000000"/>
          <w:sz w:val="20"/>
          <w:szCs w:val="20"/>
        </w:rPr>
        <w:t xml:space="preserve">The Company has nearly </w:t>
      </w:r>
      <w:r>
        <w:rPr>
          <w:rFonts w:ascii="Times New Roman" w:eastAsia="Times New Roman" w:hAnsi="Times New Roman" w:cs="Times New Roman"/>
          <w:color w:val="000000"/>
          <w:sz w:val="20"/>
          <w:szCs w:val="20"/>
        </w:rPr>
        <w:t>a decade</w:t>
      </w:r>
      <w:r w:rsidRPr="001079CF">
        <w:rPr>
          <w:rFonts w:ascii="Times New Roman" w:eastAsia="Times New Roman" w:hAnsi="Times New Roman" w:cs="Times New Roman"/>
          <w:color w:val="000000"/>
          <w:sz w:val="20"/>
          <w:szCs w:val="20"/>
        </w:rPr>
        <w:t xml:space="preserve"> of operating history and has built a strong reputation in its markets. It has successfully weathered several economic cycles within the </w:t>
      </w:r>
      <w:r>
        <w:rPr>
          <w:rFonts w:ascii="Times New Roman" w:eastAsia="Times New Roman" w:hAnsi="Times New Roman" w:cs="Times New Roman"/>
          <w:color w:val="000000"/>
          <w:sz w:val="20"/>
          <w:szCs w:val="20"/>
        </w:rPr>
        <w:t xml:space="preserve">infrastructure </w:t>
      </w:r>
      <w:r w:rsidRPr="001079CF">
        <w:rPr>
          <w:rFonts w:ascii="Times New Roman" w:eastAsia="Times New Roman" w:hAnsi="Times New Roman" w:cs="Times New Roman"/>
          <w:color w:val="000000"/>
          <w:sz w:val="20"/>
          <w:szCs w:val="20"/>
        </w:rPr>
        <w:t xml:space="preserve">industry. The strong management team has been successful attracting experienced personnel who can develop new business as well as provide technological leadership and project execution. </w:t>
      </w:r>
    </w:p>
    <w:p w14:paraId="66A46E75" w14:textId="77777777" w:rsidR="001079CF" w:rsidRPr="001079CF" w:rsidRDefault="001079CF" w:rsidP="001079CF">
      <w:pPr>
        <w:rPr>
          <w:rFonts w:ascii="Times New Roman" w:eastAsia="Times New Roman" w:hAnsi="Times New Roman" w:cs="Times New Roman"/>
          <w:color w:val="000000"/>
          <w:sz w:val="20"/>
          <w:szCs w:val="20"/>
        </w:rPr>
      </w:pPr>
      <w:r w:rsidRPr="001079CF">
        <w:rPr>
          <w:rFonts w:ascii="Times New Roman" w:eastAsia="Times New Roman" w:hAnsi="Times New Roman" w:cs="Times New Roman"/>
          <w:color w:val="000000"/>
          <w:sz w:val="20"/>
          <w:szCs w:val="20"/>
        </w:rPr>
        <w:t xml:space="preserve"> </w:t>
      </w:r>
    </w:p>
    <w:p w14:paraId="4D2E72D4" w14:textId="5272B8B8" w:rsidR="001079CF" w:rsidRPr="001079CF" w:rsidRDefault="001079CF" w:rsidP="001079CF">
      <w:pPr>
        <w:rPr>
          <w:rFonts w:ascii="Times New Roman" w:eastAsia="Times New Roman" w:hAnsi="Times New Roman" w:cs="Times New Roman"/>
          <w:color w:val="000000"/>
          <w:sz w:val="20"/>
          <w:szCs w:val="20"/>
        </w:rPr>
      </w:pPr>
      <w:r w:rsidRPr="001079CF">
        <w:rPr>
          <w:rFonts w:ascii="Times New Roman" w:eastAsia="Times New Roman" w:hAnsi="Times New Roman" w:cs="Times New Roman"/>
          <w:b/>
          <w:bCs/>
          <w:color w:val="000000"/>
          <w:sz w:val="20"/>
          <w:szCs w:val="20"/>
        </w:rPr>
        <w:t xml:space="preserve">Breadth of Critical Services — </w:t>
      </w:r>
      <w:r w:rsidRPr="001079CF">
        <w:rPr>
          <w:rFonts w:ascii="Times New Roman" w:eastAsia="Times New Roman" w:hAnsi="Times New Roman" w:cs="Times New Roman"/>
          <w:color w:val="000000"/>
          <w:sz w:val="20"/>
          <w:szCs w:val="20"/>
        </w:rPr>
        <w:t xml:space="preserve">The strength of the Company is the vertical integration of its </w:t>
      </w:r>
      <w:r>
        <w:rPr>
          <w:rFonts w:ascii="Times New Roman" w:eastAsia="Times New Roman" w:hAnsi="Times New Roman" w:cs="Times New Roman"/>
          <w:color w:val="000000"/>
          <w:sz w:val="20"/>
          <w:szCs w:val="20"/>
        </w:rPr>
        <w:t>6</w:t>
      </w:r>
      <w:r w:rsidRPr="001079CF">
        <w:rPr>
          <w:rFonts w:ascii="Times New Roman" w:eastAsia="Times New Roman" w:hAnsi="Times New Roman" w:cs="Times New Roman"/>
          <w:color w:val="000000"/>
          <w:sz w:val="20"/>
          <w:szCs w:val="20"/>
        </w:rPr>
        <w:t xml:space="preserve"> service lines, providing a one stop shop for its clients. The ability to bundle services under one contract, with one low administrative cost, provides customers with high quality service at a lower cost than dealing with multiple vendors. The Company has expanded its market share because of the diversity of its service offerings. </w:t>
      </w:r>
    </w:p>
    <w:p w14:paraId="09F81BF7" w14:textId="77777777" w:rsidR="001079CF" w:rsidRPr="001079CF" w:rsidRDefault="001079CF" w:rsidP="001079CF">
      <w:pPr>
        <w:rPr>
          <w:rFonts w:ascii="Times New Roman" w:eastAsia="Times New Roman" w:hAnsi="Times New Roman" w:cs="Times New Roman"/>
          <w:color w:val="000000"/>
          <w:sz w:val="20"/>
          <w:szCs w:val="20"/>
        </w:rPr>
      </w:pPr>
      <w:r w:rsidRPr="001079CF">
        <w:rPr>
          <w:rFonts w:ascii="Times New Roman" w:eastAsia="Times New Roman" w:hAnsi="Times New Roman" w:cs="Times New Roman"/>
          <w:color w:val="000000"/>
          <w:sz w:val="20"/>
          <w:szCs w:val="20"/>
        </w:rPr>
        <w:t xml:space="preserve"> </w:t>
      </w:r>
    </w:p>
    <w:p w14:paraId="0692D2E3" w14:textId="735D14D1" w:rsidR="001079CF" w:rsidRDefault="001079CF" w:rsidP="0057305A">
      <w:pPr>
        <w:rPr>
          <w:rFonts w:ascii="Times New Roman" w:eastAsia="Times New Roman" w:hAnsi="Times New Roman" w:cs="Times New Roman"/>
          <w:color w:val="000000"/>
          <w:sz w:val="20"/>
          <w:szCs w:val="20"/>
        </w:rPr>
      </w:pPr>
      <w:r w:rsidRPr="001079CF">
        <w:rPr>
          <w:rFonts w:ascii="Times New Roman" w:eastAsia="Times New Roman" w:hAnsi="Times New Roman" w:cs="Times New Roman"/>
          <w:b/>
          <w:bCs/>
          <w:color w:val="000000"/>
          <w:sz w:val="20"/>
          <w:szCs w:val="20"/>
        </w:rPr>
        <w:t xml:space="preserve">Significant Assets — </w:t>
      </w:r>
      <w:r w:rsidRPr="001079CF">
        <w:rPr>
          <w:rFonts w:ascii="Times New Roman" w:eastAsia="Times New Roman" w:hAnsi="Times New Roman" w:cs="Times New Roman"/>
          <w:color w:val="000000"/>
          <w:sz w:val="20"/>
          <w:szCs w:val="20"/>
        </w:rPr>
        <w:t xml:space="preserve">The Company has a wide array of heavy equipment required to perform its services. In addition, it maintains a fabrication facility which provides turnkey solutions for every fabrication project, from design through build and installation. </w:t>
      </w:r>
    </w:p>
    <w:p w14:paraId="35E81739" w14:textId="20852EA8" w:rsidR="00D17DAA" w:rsidRPr="009138F1" w:rsidRDefault="00D17DAA">
      <w:pPr>
        <w:rPr>
          <w:rFonts w:ascii="Segoe UI" w:eastAsia="Times New Roman" w:hAnsi="Segoe UI" w:cs="Segoe UI"/>
          <w:color w:val="000000"/>
          <w:sz w:val="20"/>
          <w:szCs w:val="20"/>
        </w:rPr>
        <w:sectPr w:rsidR="00D17DAA" w:rsidRPr="009138F1" w:rsidSect="001079CF">
          <w:type w:val="continuous"/>
          <w:pgSz w:w="12240" w:h="15840"/>
          <w:pgMar w:top="720" w:right="720" w:bottom="720" w:left="720" w:header="720" w:footer="720" w:gutter="0"/>
          <w:cols w:num="2" w:space="720"/>
          <w:docGrid w:linePitch="360"/>
        </w:sectPr>
      </w:pPr>
    </w:p>
    <w:p w14:paraId="7B523B47" w14:textId="60FA1F28" w:rsidR="001079CF" w:rsidRPr="002F7F9A" w:rsidRDefault="001079CF" w:rsidP="00D17DAA">
      <w:pPr>
        <w:rPr>
          <w:rFonts w:ascii="Times New Roman" w:hAnsi="Times New Roman" w:cs="Times New Roman"/>
        </w:rPr>
      </w:pPr>
    </w:p>
    <w:sectPr w:rsidR="001079CF" w:rsidRPr="002F7F9A" w:rsidSect="001079C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8CC3" w14:textId="77777777" w:rsidR="00E377E6" w:rsidRDefault="00E377E6" w:rsidP="001079CF">
      <w:r>
        <w:separator/>
      </w:r>
    </w:p>
  </w:endnote>
  <w:endnote w:type="continuationSeparator" w:id="0">
    <w:p w14:paraId="31A2C4B7" w14:textId="77777777" w:rsidR="00E377E6" w:rsidRDefault="00E377E6" w:rsidP="0010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4D8D" w14:textId="0B6C39E1" w:rsidR="00D17DAA" w:rsidRPr="00D17DAA" w:rsidRDefault="00D17DAA" w:rsidP="00E311AE">
    <w:pPr>
      <w:pStyle w:val="Footer"/>
      <w:jc w:val="right"/>
      <w:rPr>
        <w:rFonts w:ascii="Times New Roman" w:hAnsi="Times New Roman" w:cs="Times New Roman"/>
        <w:sz w:val="20"/>
        <w:szCs w:val="20"/>
      </w:rPr>
    </w:pPr>
    <w:r>
      <w:tab/>
    </w:r>
    <w:r>
      <w:tab/>
    </w:r>
    <w:r w:rsidRPr="00D17DAA">
      <w:rPr>
        <w:rFonts w:ascii="Times New Roman" w:hAnsi="Times New Roman" w:cs="Times New Roman"/>
        <w:sz w:val="20"/>
        <w:szCs w:val="20"/>
      </w:rPr>
      <w:t>alexas@the1972fund.com</w:t>
    </w:r>
  </w:p>
  <w:p w14:paraId="420E541A" w14:textId="7FCE4A94" w:rsidR="00D17DAA" w:rsidRPr="00D17DAA" w:rsidRDefault="00D17DAA" w:rsidP="00E311AE">
    <w:pPr>
      <w:pStyle w:val="Footer"/>
      <w:jc w:val="right"/>
      <w:rPr>
        <w:rFonts w:ascii="Times New Roman" w:hAnsi="Times New Roman" w:cs="Times New Roman"/>
        <w:sz w:val="20"/>
        <w:szCs w:val="20"/>
      </w:rPr>
    </w:pPr>
    <w:r w:rsidRPr="00D17DAA">
      <w:rPr>
        <w:rFonts w:ascii="Times New Roman" w:hAnsi="Times New Roman" w:cs="Times New Roman"/>
        <w:sz w:val="20"/>
        <w:szCs w:val="20"/>
      </w:rPr>
      <w:tab/>
    </w:r>
    <w:r w:rsidRPr="00D17DAA">
      <w:rPr>
        <w:rFonts w:ascii="Times New Roman" w:hAnsi="Times New Roman" w:cs="Times New Roman"/>
        <w:sz w:val="20"/>
        <w:szCs w:val="20"/>
      </w:rPr>
      <w:tab/>
      <w:t>713-501-4965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6C12D" w14:textId="77777777" w:rsidR="00E377E6" w:rsidRDefault="00E377E6" w:rsidP="001079CF">
      <w:r>
        <w:separator/>
      </w:r>
    </w:p>
  </w:footnote>
  <w:footnote w:type="continuationSeparator" w:id="0">
    <w:p w14:paraId="6987E852" w14:textId="77777777" w:rsidR="00E377E6" w:rsidRDefault="00E377E6" w:rsidP="00107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B739" w14:textId="1A2FC4E1" w:rsidR="001079CF" w:rsidRDefault="001079CF" w:rsidP="001079CF">
    <w:pPr>
      <w:pBdr>
        <w:bottom w:val="thickThinSmallGap" w:sz="18" w:space="1" w:color="auto"/>
      </w:pBdr>
      <w:ind w:hanging="360"/>
      <w:rPr>
        <w:rFonts w:ascii="Times New Roman" w:hAnsi="Times New Roman" w:cs="Times New Roman"/>
        <w:b/>
        <w:color w:val="000080"/>
        <w:sz w:val="36"/>
      </w:rPr>
    </w:pPr>
    <w:r>
      <w:rPr>
        <w:rFonts w:ascii="Times New Roman" w:hAnsi="Times New Roman" w:cs="Times New Roman"/>
        <w:b/>
        <w:color w:val="000080"/>
        <w:sz w:val="36"/>
      </w:rPr>
      <w:t>The 1972 Fund</w:t>
    </w:r>
  </w:p>
  <w:p w14:paraId="10F1143F" w14:textId="15043B9D" w:rsidR="001079CF" w:rsidRPr="00282A4F" w:rsidRDefault="001079CF" w:rsidP="001079CF">
    <w:pPr>
      <w:pBdr>
        <w:bottom w:val="thickThinSmallGap" w:sz="18" w:space="1" w:color="auto"/>
      </w:pBdr>
      <w:ind w:hanging="360"/>
      <w:rPr>
        <w:color w:val="000080"/>
        <w:spacing w:val="20"/>
        <w:position w:val="6"/>
      </w:rPr>
    </w:pPr>
    <w:r w:rsidRPr="001079CF">
      <w:rPr>
        <w:rFonts w:ascii="Times New Roman" w:hAnsi="Times New Roman" w:cs="Times New Roman"/>
        <w:color w:val="000080"/>
        <w:spacing w:val="20"/>
        <w:position w:val="6"/>
      </w:rPr>
      <w:t>Confidential</w:t>
    </w:r>
  </w:p>
  <w:p w14:paraId="1921C288" w14:textId="77777777" w:rsidR="001079CF" w:rsidRDefault="001079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05A"/>
    <w:rsid w:val="001079CF"/>
    <w:rsid w:val="002F7F9A"/>
    <w:rsid w:val="004C3EED"/>
    <w:rsid w:val="004E158C"/>
    <w:rsid w:val="0057305A"/>
    <w:rsid w:val="005E3468"/>
    <w:rsid w:val="008B5A33"/>
    <w:rsid w:val="009138F1"/>
    <w:rsid w:val="009E6587"/>
    <w:rsid w:val="00D17DAA"/>
    <w:rsid w:val="00E311AE"/>
    <w:rsid w:val="00E377E6"/>
    <w:rsid w:val="00EE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9858"/>
  <w15:chartTrackingRefBased/>
  <w15:docId w15:val="{657CCE42-CAAA-D943-95A4-1C2C99D9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079CF"/>
    <w:pPr>
      <w:keepNext/>
      <w:outlineLvl w:val="1"/>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1059869453p1">
    <w:name w:val="x_1059869453p1"/>
    <w:basedOn w:val="Normal"/>
    <w:rsid w:val="0057305A"/>
    <w:pPr>
      <w:spacing w:before="100" w:beforeAutospacing="1" w:after="100" w:afterAutospacing="1"/>
    </w:pPr>
    <w:rPr>
      <w:rFonts w:ascii="Times New Roman" w:eastAsia="Times New Roman" w:hAnsi="Times New Roman" w:cs="Times New Roman"/>
    </w:rPr>
  </w:style>
  <w:style w:type="character" w:customStyle="1" w:styleId="x1059869453s2">
    <w:name w:val="x_1059869453s2"/>
    <w:basedOn w:val="DefaultParagraphFont"/>
    <w:rsid w:val="0057305A"/>
  </w:style>
  <w:style w:type="character" w:customStyle="1" w:styleId="x1059869453s1">
    <w:name w:val="x_1059869453s1"/>
    <w:basedOn w:val="DefaultParagraphFont"/>
    <w:rsid w:val="0057305A"/>
  </w:style>
  <w:style w:type="character" w:customStyle="1" w:styleId="x1059869453apple-converted-space">
    <w:name w:val="x_1059869453apple-converted-space"/>
    <w:basedOn w:val="DefaultParagraphFont"/>
    <w:rsid w:val="0057305A"/>
  </w:style>
  <w:style w:type="paragraph" w:customStyle="1" w:styleId="x1059869453p2">
    <w:name w:val="x_1059869453p2"/>
    <w:basedOn w:val="Normal"/>
    <w:rsid w:val="0057305A"/>
    <w:pPr>
      <w:spacing w:before="100" w:beforeAutospacing="1" w:after="100" w:afterAutospacing="1"/>
    </w:pPr>
    <w:rPr>
      <w:rFonts w:ascii="Times New Roman" w:eastAsia="Times New Roman" w:hAnsi="Times New Roman" w:cs="Times New Roman"/>
    </w:rPr>
  </w:style>
  <w:style w:type="character" w:customStyle="1" w:styleId="x1059869453s3">
    <w:name w:val="x_1059869453s3"/>
    <w:basedOn w:val="DefaultParagraphFont"/>
    <w:rsid w:val="0057305A"/>
  </w:style>
  <w:style w:type="character" w:customStyle="1" w:styleId="x1059869453s5">
    <w:name w:val="x_1059869453s5"/>
    <w:basedOn w:val="DefaultParagraphFont"/>
    <w:rsid w:val="0057305A"/>
  </w:style>
  <w:style w:type="paragraph" w:styleId="Header">
    <w:name w:val="header"/>
    <w:basedOn w:val="Normal"/>
    <w:link w:val="HeaderChar"/>
    <w:uiPriority w:val="99"/>
    <w:unhideWhenUsed/>
    <w:rsid w:val="001079CF"/>
    <w:pPr>
      <w:tabs>
        <w:tab w:val="center" w:pos="4680"/>
        <w:tab w:val="right" w:pos="9360"/>
      </w:tabs>
    </w:pPr>
  </w:style>
  <w:style w:type="character" w:customStyle="1" w:styleId="HeaderChar">
    <w:name w:val="Header Char"/>
    <w:basedOn w:val="DefaultParagraphFont"/>
    <w:link w:val="Header"/>
    <w:uiPriority w:val="99"/>
    <w:rsid w:val="001079CF"/>
  </w:style>
  <w:style w:type="paragraph" w:styleId="Footer">
    <w:name w:val="footer"/>
    <w:basedOn w:val="Normal"/>
    <w:link w:val="FooterChar"/>
    <w:uiPriority w:val="99"/>
    <w:unhideWhenUsed/>
    <w:rsid w:val="001079CF"/>
    <w:pPr>
      <w:tabs>
        <w:tab w:val="center" w:pos="4680"/>
        <w:tab w:val="right" w:pos="9360"/>
      </w:tabs>
    </w:pPr>
  </w:style>
  <w:style w:type="character" w:customStyle="1" w:styleId="FooterChar">
    <w:name w:val="Footer Char"/>
    <w:basedOn w:val="DefaultParagraphFont"/>
    <w:link w:val="Footer"/>
    <w:uiPriority w:val="99"/>
    <w:rsid w:val="001079CF"/>
  </w:style>
  <w:style w:type="character" w:customStyle="1" w:styleId="Heading2Char">
    <w:name w:val="Heading 2 Char"/>
    <w:basedOn w:val="DefaultParagraphFont"/>
    <w:link w:val="Heading2"/>
    <w:rsid w:val="001079CF"/>
    <w:rPr>
      <w:rFonts w:ascii="Times New Roman" w:eastAsia="Times New Roman" w:hAnsi="Times New Roman" w:cs="Times New Roman"/>
      <w:szCs w:val="20"/>
    </w:rPr>
  </w:style>
  <w:style w:type="character" w:styleId="Hyperlink">
    <w:name w:val="Hyperlink"/>
    <w:basedOn w:val="DefaultParagraphFont"/>
    <w:uiPriority w:val="99"/>
    <w:unhideWhenUsed/>
    <w:rsid w:val="00D17DAA"/>
    <w:rPr>
      <w:color w:val="0563C1" w:themeColor="hyperlink"/>
      <w:u w:val="single"/>
    </w:rPr>
  </w:style>
  <w:style w:type="character" w:styleId="UnresolvedMention">
    <w:name w:val="Unresolved Mention"/>
    <w:basedOn w:val="DefaultParagraphFont"/>
    <w:uiPriority w:val="99"/>
    <w:semiHidden/>
    <w:unhideWhenUsed/>
    <w:rsid w:val="00D17DAA"/>
    <w:rPr>
      <w:color w:val="605E5C"/>
      <w:shd w:val="clear" w:color="auto" w:fill="E1DFDD"/>
    </w:rPr>
  </w:style>
  <w:style w:type="character" w:styleId="FollowedHyperlink">
    <w:name w:val="FollowedHyperlink"/>
    <w:basedOn w:val="DefaultParagraphFont"/>
    <w:uiPriority w:val="99"/>
    <w:semiHidden/>
    <w:unhideWhenUsed/>
    <w:rsid w:val="00D17D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48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Stachowiak</dc:creator>
  <cp:keywords/>
  <dc:description/>
  <cp:lastModifiedBy>Alexa Stachowiak</cp:lastModifiedBy>
  <cp:revision>2</cp:revision>
  <cp:lastPrinted>2023-08-08T17:07:00Z</cp:lastPrinted>
  <dcterms:created xsi:type="dcterms:W3CDTF">2023-08-08T17:08:00Z</dcterms:created>
  <dcterms:modified xsi:type="dcterms:W3CDTF">2023-08-08T17:08:00Z</dcterms:modified>
</cp:coreProperties>
</file>